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36" w:rsidRDefault="00D05836" w:rsidP="00D05836">
      <w:pPr>
        <w:spacing w:after="200" w:line="100" w:lineRule="atLeast"/>
        <w:ind w:right="-143"/>
        <w:rPr>
          <w:b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-111760</wp:posOffset>
            </wp:positionV>
            <wp:extent cx="2146300" cy="1259840"/>
            <wp:effectExtent l="0" t="0" r="635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259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lang w:val="ru-RU"/>
        </w:rPr>
        <w:t>ОБЩЕСТВО С ОГРАНИЧЕННОЙ ОТВЕТСТВЕННОСТЬЮ «ОЛЬВИЯ</w:t>
      </w:r>
      <w:r>
        <w:rPr>
          <w:b/>
          <w:sz w:val="24"/>
          <w:szCs w:val="24"/>
          <w:lang w:val="ru-RU"/>
        </w:rPr>
        <w:t>»</w:t>
      </w:r>
    </w:p>
    <w:p w:rsidR="00D05836" w:rsidRDefault="00D05836" w:rsidP="00D05836">
      <w:pPr>
        <w:rPr>
          <w:rFonts w:ascii="Times New Roman" w:eastAsia="Calibri" w:hAnsi="Times New Roman"/>
          <w:sz w:val="18"/>
          <w:szCs w:val="18"/>
          <w:lang w:val="ru-RU"/>
        </w:rPr>
      </w:pPr>
      <w:r>
        <w:rPr>
          <w:rFonts w:ascii="Times New Roman" w:eastAsia="Calibri" w:hAnsi="Times New Roman"/>
          <w:sz w:val="18"/>
          <w:szCs w:val="18"/>
          <w:lang w:val="ru-RU"/>
        </w:rPr>
        <w:t xml:space="preserve">167000, Республика Коми, г. Сыктывкар, </w:t>
      </w:r>
      <w:proofErr w:type="spellStart"/>
      <w:r>
        <w:rPr>
          <w:rFonts w:ascii="Times New Roman" w:eastAsia="Calibri" w:hAnsi="Times New Roman"/>
          <w:sz w:val="18"/>
          <w:szCs w:val="18"/>
          <w:lang w:val="ru-RU"/>
        </w:rPr>
        <w:t>Сысольское</w:t>
      </w:r>
      <w:proofErr w:type="spellEnd"/>
      <w:r>
        <w:rPr>
          <w:rFonts w:ascii="Times New Roman" w:eastAsia="Calibri" w:hAnsi="Times New Roman"/>
          <w:sz w:val="18"/>
          <w:szCs w:val="18"/>
          <w:lang w:val="ru-RU"/>
        </w:rPr>
        <w:t xml:space="preserve"> шоссе, д. 20, оф. 3/1</w:t>
      </w:r>
    </w:p>
    <w:p w:rsidR="00D05836" w:rsidRDefault="00D05836" w:rsidP="00D05836">
      <w:pPr>
        <w:rPr>
          <w:rFonts w:ascii="Times New Roman" w:eastAsia="Calibri" w:hAnsi="Times New Roman"/>
          <w:sz w:val="18"/>
          <w:szCs w:val="18"/>
          <w:lang w:val="ru-RU"/>
        </w:rPr>
      </w:pPr>
      <w:r>
        <w:rPr>
          <w:rFonts w:ascii="Times New Roman" w:eastAsia="Calibri" w:hAnsi="Times New Roman"/>
          <w:sz w:val="18"/>
          <w:szCs w:val="18"/>
          <w:lang w:val="ru-RU"/>
        </w:rPr>
        <w:t>Контактный телефон: 8 (212) 40-10-05</w:t>
      </w:r>
    </w:p>
    <w:p w:rsidR="00D05836" w:rsidRDefault="00D05836" w:rsidP="00D05836">
      <w:pPr>
        <w:rPr>
          <w:rFonts w:ascii="Times New Roman" w:eastAsia="Calibri" w:hAnsi="Times New Roman"/>
          <w:sz w:val="18"/>
          <w:szCs w:val="18"/>
          <w:lang w:val="ru-RU"/>
        </w:rPr>
      </w:pPr>
      <w:proofErr w:type="spellStart"/>
      <w:r>
        <w:rPr>
          <w:rFonts w:ascii="Times New Roman" w:eastAsia="Calibri" w:hAnsi="Times New Roman"/>
          <w:sz w:val="18"/>
          <w:szCs w:val="18"/>
          <w:lang w:val="ru-RU"/>
        </w:rPr>
        <w:t>эл</w:t>
      </w:r>
      <w:proofErr w:type="gramStart"/>
      <w:r>
        <w:rPr>
          <w:rFonts w:ascii="Times New Roman" w:eastAsia="Calibri" w:hAnsi="Times New Roman"/>
          <w:sz w:val="18"/>
          <w:szCs w:val="18"/>
          <w:lang w:val="ru-RU"/>
        </w:rPr>
        <w:t>.а</w:t>
      </w:r>
      <w:proofErr w:type="gramEnd"/>
      <w:r>
        <w:rPr>
          <w:rFonts w:ascii="Times New Roman" w:eastAsia="Calibri" w:hAnsi="Times New Roman"/>
          <w:sz w:val="18"/>
          <w:szCs w:val="18"/>
          <w:lang w:val="ru-RU"/>
        </w:rPr>
        <w:t>дрес</w:t>
      </w:r>
      <w:proofErr w:type="spellEnd"/>
      <w:r>
        <w:rPr>
          <w:rFonts w:ascii="Times New Roman" w:eastAsia="Calibri" w:hAnsi="Times New Roman"/>
          <w:sz w:val="18"/>
          <w:szCs w:val="18"/>
          <w:lang w:val="ru-RU"/>
        </w:rPr>
        <w:t xml:space="preserve">: </w:t>
      </w:r>
      <w:hyperlink r:id="rId7" w:history="1">
        <w:r>
          <w:rPr>
            <w:rStyle w:val="a5"/>
            <w:rFonts w:ascii="Times New Roman" w:eastAsia="Calibri" w:hAnsi="Times New Roman"/>
            <w:sz w:val="18"/>
            <w:szCs w:val="18"/>
          </w:rPr>
          <w:t>olvia</w:t>
        </w:r>
        <w:r>
          <w:rPr>
            <w:rStyle w:val="a5"/>
            <w:rFonts w:ascii="Times New Roman" w:eastAsia="Calibri" w:hAnsi="Times New Roman"/>
            <w:sz w:val="18"/>
            <w:szCs w:val="18"/>
            <w:lang w:val="ru-RU"/>
          </w:rPr>
          <w:t>-</w:t>
        </w:r>
        <w:r>
          <w:rPr>
            <w:rStyle w:val="a5"/>
            <w:rFonts w:ascii="Times New Roman" w:eastAsia="Calibri" w:hAnsi="Times New Roman"/>
            <w:sz w:val="18"/>
            <w:szCs w:val="18"/>
          </w:rPr>
          <w:t>komi</w:t>
        </w:r>
        <w:r>
          <w:rPr>
            <w:rStyle w:val="a5"/>
            <w:rFonts w:ascii="Times New Roman" w:eastAsia="Calibri" w:hAnsi="Times New Roman"/>
            <w:sz w:val="18"/>
            <w:szCs w:val="18"/>
            <w:lang w:val="ru-RU"/>
          </w:rPr>
          <w:t>@</w:t>
        </w:r>
        <w:r>
          <w:rPr>
            <w:rStyle w:val="a5"/>
            <w:rFonts w:ascii="Times New Roman" w:eastAsia="Calibri" w:hAnsi="Times New Roman"/>
            <w:sz w:val="18"/>
            <w:szCs w:val="18"/>
          </w:rPr>
          <w:t>mail</w:t>
        </w:r>
        <w:r>
          <w:rPr>
            <w:rStyle w:val="a5"/>
            <w:rFonts w:ascii="Times New Roman" w:eastAsia="Calibri" w:hAnsi="Times New Roman"/>
            <w:sz w:val="18"/>
            <w:szCs w:val="18"/>
            <w:lang w:val="ru-RU"/>
          </w:rPr>
          <w:t>.</w:t>
        </w:r>
        <w:r>
          <w:rPr>
            <w:rStyle w:val="a5"/>
            <w:rFonts w:ascii="Times New Roman" w:eastAsia="Calibri" w:hAnsi="Times New Roman"/>
            <w:sz w:val="18"/>
            <w:szCs w:val="18"/>
          </w:rPr>
          <w:t>ru</w:t>
        </w:r>
      </w:hyperlink>
    </w:p>
    <w:p w:rsidR="00D05836" w:rsidRDefault="00D05836" w:rsidP="00D05836">
      <w:pPr>
        <w:rPr>
          <w:rFonts w:ascii="Times New Roman" w:eastAsia="Calibri" w:hAnsi="Times New Roman"/>
          <w:sz w:val="18"/>
          <w:szCs w:val="18"/>
        </w:rPr>
      </w:pPr>
      <w:r>
        <w:rPr>
          <w:rFonts w:ascii="Times New Roman" w:eastAsia="Calibri" w:hAnsi="Times New Roman"/>
          <w:sz w:val="18"/>
          <w:szCs w:val="18"/>
        </w:rPr>
        <w:t>http</w:t>
      </w:r>
      <w:r>
        <w:rPr>
          <w:rFonts w:ascii="Times New Roman" w:eastAsia="Calibri" w:hAnsi="Times New Roman"/>
          <w:sz w:val="18"/>
          <w:szCs w:val="18"/>
          <w:lang w:val="ru-RU"/>
        </w:rPr>
        <w:t xml:space="preserve">:// </w:t>
      </w:r>
      <w:r>
        <w:rPr>
          <w:rFonts w:ascii="Times New Roman" w:eastAsia="Calibri" w:hAnsi="Times New Roman"/>
          <w:sz w:val="18"/>
          <w:szCs w:val="18"/>
        </w:rPr>
        <w:t>olvia11.ru</w:t>
      </w:r>
    </w:p>
    <w:p w:rsidR="00F8550D" w:rsidRDefault="00F8550D" w:rsidP="00D05836">
      <w:pPr>
        <w:rPr>
          <w:lang w:val="ru-RU"/>
        </w:rPr>
      </w:pPr>
    </w:p>
    <w:p w:rsidR="00D05836" w:rsidRDefault="00D05836" w:rsidP="00D05836">
      <w:pPr>
        <w:rPr>
          <w:lang w:val="ru-RU"/>
        </w:rPr>
      </w:pPr>
    </w:p>
    <w:p w:rsidR="00D05836" w:rsidRDefault="00D05836" w:rsidP="00D05836">
      <w:pPr>
        <w:rPr>
          <w:b/>
          <w:sz w:val="24"/>
          <w:szCs w:val="24"/>
          <w:lang w:val="ru-RU"/>
        </w:rPr>
      </w:pPr>
      <w:r>
        <w:rPr>
          <w:noProof/>
          <w:position w:val="-16"/>
          <w:lang w:val="ru-RU" w:eastAsia="ru-RU"/>
        </w:rPr>
        <w:drawing>
          <wp:inline distT="0" distB="0" distL="0" distR="0" wp14:anchorId="35BE2B56" wp14:editId="5B916359">
            <wp:extent cx="473075" cy="462280"/>
            <wp:effectExtent l="0" t="0" r="3175" b="0"/>
            <wp:docPr id="2" name="Рисунок 2" descr="Logo-hth very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hth very 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836">
        <w:rPr>
          <w:lang w:val="ru-RU"/>
        </w:rPr>
        <w:t xml:space="preserve"> </w:t>
      </w:r>
      <w:r w:rsidRPr="00D05836">
        <w:rPr>
          <w:b/>
          <w:sz w:val="24"/>
          <w:szCs w:val="24"/>
          <w:lang w:val="ru-RU"/>
        </w:rPr>
        <w:t>МНОГОФУНКЦИОНАЛЬНЫЕ (</w:t>
      </w:r>
      <w:bookmarkStart w:id="0" w:name="_GoBack"/>
      <w:r w:rsidRPr="00D05836">
        <w:rPr>
          <w:b/>
          <w:sz w:val="24"/>
          <w:szCs w:val="24"/>
          <w:lang w:val="ru-RU"/>
        </w:rPr>
        <w:t>ДВУХСЛОЙНЫЕ) ТАБЛЕТКИ СТАБИЛИЗИРОВАННОГО ХЛОРА 6 в 1 по 250гр.</w:t>
      </w:r>
      <w:bookmarkEnd w:id="0"/>
    </w:p>
    <w:p w:rsidR="00D05836" w:rsidRDefault="00D05836" w:rsidP="00D05836">
      <w:pPr>
        <w:rPr>
          <w:b/>
          <w:sz w:val="24"/>
          <w:szCs w:val="24"/>
          <w:lang w:val="ru-RU"/>
        </w:rPr>
      </w:pPr>
    </w:p>
    <w:p w:rsidR="00D05836" w:rsidRPr="00D05836" w:rsidRDefault="00D05836" w:rsidP="00D05836">
      <w:pPr>
        <w:pStyle w:val="a0"/>
        <w:ind w:left="20" w:right="300"/>
        <w:rPr>
          <w:rStyle w:val="11"/>
          <w:rFonts w:ascii="Arial" w:cs="Arial"/>
          <w:sz w:val="20"/>
          <w:szCs w:val="20"/>
        </w:rPr>
      </w:pPr>
      <w:r w:rsidRPr="00D05836">
        <w:rPr>
          <w:b/>
          <w:u w:val="single"/>
        </w:rPr>
        <w:t>Коды производителя</w:t>
      </w:r>
      <w:r w:rsidRPr="00D05836">
        <w:t xml:space="preserve"> </w:t>
      </w:r>
      <w:r w:rsidRPr="00D05836">
        <w:rPr>
          <w:rStyle w:val="11"/>
          <w:rFonts w:ascii="Arial" w:cs="Arial"/>
          <w:sz w:val="20"/>
          <w:szCs w:val="20"/>
        </w:rPr>
        <w:t>K</w:t>
      </w:r>
      <w:r w:rsidRPr="00D05836">
        <w:rPr>
          <w:rStyle w:val="11"/>
          <w:rFonts w:ascii="Arial" w:cs="Arial"/>
          <w:sz w:val="20"/>
          <w:szCs w:val="20"/>
          <w:lang w:val="ru-RU"/>
        </w:rPr>
        <w:t>801795</w:t>
      </w:r>
      <w:r w:rsidRPr="00D05836">
        <w:rPr>
          <w:rStyle w:val="11"/>
          <w:rFonts w:ascii="Arial" w:cs="Arial"/>
          <w:sz w:val="20"/>
          <w:szCs w:val="20"/>
        </w:rPr>
        <w:t>H</w:t>
      </w:r>
      <w:r w:rsidRPr="00D05836">
        <w:rPr>
          <w:rStyle w:val="11"/>
          <w:rFonts w:ascii="Arial" w:cs="Arial"/>
          <w:sz w:val="20"/>
          <w:szCs w:val="20"/>
          <w:lang w:val="ru-RU"/>
        </w:rPr>
        <w:t xml:space="preserve">1, </w:t>
      </w:r>
      <w:r w:rsidRPr="00D05836">
        <w:rPr>
          <w:rStyle w:val="11"/>
          <w:rFonts w:ascii="Arial" w:cs="Arial"/>
          <w:sz w:val="20"/>
          <w:szCs w:val="20"/>
        </w:rPr>
        <w:t>K</w:t>
      </w:r>
      <w:r w:rsidRPr="00D05836">
        <w:rPr>
          <w:rStyle w:val="11"/>
          <w:rFonts w:ascii="Arial" w:cs="Arial"/>
          <w:sz w:val="20"/>
          <w:szCs w:val="20"/>
          <w:lang w:val="ru-RU"/>
        </w:rPr>
        <w:t>801792</w:t>
      </w:r>
      <w:r w:rsidRPr="00D05836">
        <w:rPr>
          <w:rStyle w:val="11"/>
          <w:rFonts w:ascii="Arial" w:cs="Arial"/>
          <w:sz w:val="20"/>
          <w:szCs w:val="20"/>
        </w:rPr>
        <w:t>H</w:t>
      </w:r>
      <w:r w:rsidRPr="00D05836">
        <w:rPr>
          <w:rStyle w:val="11"/>
          <w:rFonts w:ascii="Arial" w:cs="Arial"/>
          <w:sz w:val="20"/>
          <w:szCs w:val="20"/>
          <w:lang w:val="ru-RU"/>
        </w:rPr>
        <w:t xml:space="preserve">1 </w:t>
      </w:r>
    </w:p>
    <w:p w:rsidR="00D05836" w:rsidRPr="00D05836" w:rsidRDefault="00D05836" w:rsidP="00D05836">
      <w:pPr>
        <w:pStyle w:val="a0"/>
        <w:ind w:left="20" w:right="300"/>
        <w:rPr>
          <w:u w:val="single"/>
        </w:rPr>
      </w:pPr>
      <w:r w:rsidRPr="00D05836">
        <w:rPr>
          <w:b/>
          <w:u w:val="single"/>
        </w:rPr>
        <w:t>Состав</w:t>
      </w:r>
      <w:r w:rsidRPr="00D05836">
        <w:rPr>
          <w:b/>
          <w:u w:val="single"/>
        </w:rPr>
        <w:t>:</w:t>
      </w:r>
      <w:r w:rsidRPr="00D05836">
        <w:rPr>
          <w:u w:val="single"/>
        </w:rPr>
        <w:t xml:space="preserve"> </w:t>
      </w:r>
      <w:r w:rsidRPr="00D05836">
        <w:t>Содержит трихлоризоциануровую и дихлоризоциануровую кислоты.</w:t>
      </w:r>
    </w:p>
    <w:p w:rsidR="00D05836" w:rsidRPr="00D05836" w:rsidRDefault="00D05836" w:rsidP="00D05836">
      <w:pPr>
        <w:pStyle w:val="a0"/>
      </w:pPr>
      <w:r w:rsidRPr="00D05836">
        <w:rPr>
          <w:b/>
          <w:u w:val="single"/>
        </w:rPr>
        <w:t>Фасовка</w:t>
      </w:r>
      <w:r w:rsidRPr="00D05836">
        <w:t>: упаковки по 5 и 1кг</w:t>
      </w:r>
    </w:p>
    <w:p w:rsidR="00D05836" w:rsidRPr="00D05836" w:rsidRDefault="00D05836" w:rsidP="00D05836">
      <w:pPr>
        <w:pStyle w:val="31"/>
        <w:shd w:val="clear" w:color="auto" w:fill="auto"/>
        <w:spacing w:line="240" w:lineRule="auto"/>
        <w:ind w:left="300"/>
        <w:rPr>
          <w:rStyle w:val="30"/>
          <w:rFonts w:ascii="Arial" w:hAnsi="Arial" w:cs="Arial"/>
          <w:b/>
          <w:color w:val="000000"/>
          <w:sz w:val="20"/>
          <w:szCs w:val="20"/>
        </w:rPr>
      </w:pPr>
      <w:bookmarkStart w:id="1" w:name="bookmark2"/>
      <w:proofErr w:type="spellStart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>Свойства</w:t>
      </w:r>
      <w:bookmarkEnd w:id="1"/>
      <w:proofErr w:type="spellEnd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>: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spacing w:after="0"/>
        <w:rPr>
          <w:lang w:val="ru-RU"/>
        </w:rPr>
      </w:pPr>
      <w:r w:rsidRPr="00D05836">
        <w:rPr>
          <w:lang w:val="ru-RU"/>
        </w:rPr>
        <w:t>Не поддерживают горение (тест СЕ-А-17).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spacing w:after="0"/>
        <w:rPr>
          <w:lang w:val="ru-RU"/>
        </w:rPr>
      </w:pPr>
      <w:r w:rsidRPr="00D05836">
        <w:rPr>
          <w:lang w:val="ru-RU"/>
        </w:rPr>
        <w:t>Таблетки по 250 гр. растворяются медленно, без остатка.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tabs>
          <w:tab w:val="left" w:pos="414"/>
        </w:tabs>
        <w:spacing w:after="0"/>
        <w:jc w:val="both"/>
        <w:rPr>
          <w:lang w:val="ru-RU"/>
        </w:rPr>
      </w:pPr>
      <w:r w:rsidRPr="00D05836">
        <w:rPr>
          <w:lang w:val="ru-RU"/>
        </w:rPr>
        <w:t>Среднее содержание свободного хлора - около 86%.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tabs>
          <w:tab w:val="left" w:pos="414"/>
        </w:tabs>
        <w:spacing w:after="0"/>
        <w:ind w:right="20"/>
        <w:rPr>
          <w:lang w:val="ru-RU"/>
        </w:rPr>
      </w:pPr>
      <w:r w:rsidRPr="00D05836">
        <w:rPr>
          <w:lang w:val="ru-RU"/>
        </w:rPr>
        <w:t xml:space="preserve">Совмещают постоянное хлорирование, уничтожение водорослей, </w:t>
      </w:r>
      <w:proofErr w:type="gramStart"/>
      <w:r w:rsidRPr="00D05836">
        <w:rPr>
          <w:lang w:val="ru-RU"/>
        </w:rPr>
        <w:t>постоянную</w:t>
      </w:r>
      <w:proofErr w:type="gramEnd"/>
      <w:r w:rsidRPr="00D05836">
        <w:rPr>
          <w:lang w:val="ru-RU"/>
        </w:rPr>
        <w:t xml:space="preserve"> флокуляцию, регулирование рН и удаление известкового налета.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spacing w:after="0"/>
        <w:ind w:right="20"/>
        <w:rPr>
          <w:lang w:val="ru-RU"/>
        </w:rPr>
      </w:pPr>
      <w:r w:rsidRPr="00D05836">
        <w:rPr>
          <w:lang w:val="ru-RU"/>
        </w:rPr>
        <w:t>Благодаря повышенной стабилизации, препятствуют разрушительному воздействию ультрафиолетовых лучей солнечного света.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2"/>
        </w:numPr>
        <w:spacing w:after="232"/>
        <w:jc w:val="both"/>
        <w:rPr>
          <w:lang w:val="ru-RU"/>
        </w:rPr>
      </w:pPr>
      <w:r w:rsidRPr="00D05836">
        <w:rPr>
          <w:lang w:val="ru-RU"/>
        </w:rPr>
        <w:t xml:space="preserve">Пригодны для любой воды, в том числе </w:t>
      </w:r>
      <w:proofErr w:type="gramStart"/>
      <w:r w:rsidRPr="00D05836">
        <w:rPr>
          <w:lang w:val="ru-RU"/>
        </w:rPr>
        <w:t>для</w:t>
      </w:r>
      <w:proofErr w:type="gramEnd"/>
      <w:r w:rsidRPr="00D05836">
        <w:rPr>
          <w:lang w:val="ru-RU"/>
        </w:rPr>
        <w:t xml:space="preserve"> очень жесткой.</w:t>
      </w:r>
    </w:p>
    <w:p w:rsidR="00D05836" w:rsidRPr="00D05836" w:rsidRDefault="00D05836" w:rsidP="00D05836">
      <w:pPr>
        <w:pStyle w:val="31"/>
        <w:shd w:val="clear" w:color="auto" w:fill="auto"/>
        <w:spacing w:after="171" w:line="240" w:lineRule="auto"/>
        <w:ind w:left="20" w:firstLine="0"/>
        <w:jc w:val="both"/>
        <w:rPr>
          <w:rFonts w:ascii="Arial" w:hAnsi="Arial" w:cs="Arial"/>
          <w:b/>
          <w:sz w:val="20"/>
          <w:szCs w:val="20"/>
        </w:rPr>
      </w:pPr>
      <w:bookmarkStart w:id="2" w:name="bookmark3"/>
      <w:proofErr w:type="spellStart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>Назначение</w:t>
      </w:r>
      <w:bookmarkEnd w:id="2"/>
      <w:proofErr w:type="spellEnd"/>
    </w:p>
    <w:p w:rsidR="00D05836" w:rsidRPr="00D05836" w:rsidRDefault="00D05836" w:rsidP="00D05836">
      <w:pPr>
        <w:pStyle w:val="a0"/>
        <w:ind w:left="20"/>
        <w:jc w:val="both"/>
        <w:rPr>
          <w:lang w:val="ru-RU"/>
        </w:rPr>
      </w:pPr>
      <w:r w:rsidRPr="00D05836">
        <w:rPr>
          <w:lang w:val="ru-RU"/>
        </w:rPr>
        <w:t>Полная обработка:</w:t>
      </w:r>
    </w:p>
    <w:p w:rsidR="00D05836" w:rsidRPr="00D05836" w:rsidRDefault="00D05836" w:rsidP="00D05836">
      <w:pPr>
        <w:pStyle w:val="a0"/>
        <w:spacing w:after="228"/>
        <w:ind w:left="20" w:right="20"/>
        <w:jc w:val="both"/>
        <w:rPr>
          <w:lang w:val="ru-RU"/>
        </w:rPr>
      </w:pPr>
      <w:r w:rsidRPr="00D05836">
        <w:rPr>
          <w:lang w:val="ru-RU"/>
        </w:rPr>
        <w:t>Шоковая обработка, обеззараживают воду, уничтожают водоросли, удаляет известковый налет, улучшают фильтрацию и стабилизируют хлор.</w:t>
      </w:r>
    </w:p>
    <w:p w:rsidR="00D05836" w:rsidRPr="00D05836" w:rsidRDefault="00D05836" w:rsidP="00D05836">
      <w:pPr>
        <w:pStyle w:val="31"/>
        <w:shd w:val="clear" w:color="auto" w:fill="auto"/>
        <w:spacing w:after="214" w:line="240" w:lineRule="auto"/>
        <w:ind w:left="20" w:firstLine="0"/>
        <w:jc w:val="both"/>
        <w:rPr>
          <w:rFonts w:ascii="Arial" w:hAnsi="Arial" w:cs="Arial"/>
          <w:b/>
          <w:sz w:val="20"/>
          <w:szCs w:val="20"/>
        </w:rPr>
      </w:pPr>
      <w:bookmarkStart w:id="3" w:name="bookmark4"/>
      <w:proofErr w:type="spellStart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>Способ</w:t>
      </w:r>
      <w:proofErr w:type="spellEnd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D05836">
        <w:rPr>
          <w:rStyle w:val="30"/>
          <w:rFonts w:ascii="Arial" w:hAnsi="Arial" w:cs="Arial"/>
          <w:b/>
          <w:color w:val="000000"/>
          <w:sz w:val="20"/>
          <w:szCs w:val="20"/>
        </w:rPr>
        <w:t>применения</w:t>
      </w:r>
      <w:bookmarkEnd w:id="3"/>
      <w:proofErr w:type="spellEnd"/>
    </w:p>
    <w:p w:rsidR="00D05836" w:rsidRPr="00D05836" w:rsidRDefault="00D05836" w:rsidP="00D05836">
      <w:pPr>
        <w:pStyle w:val="a0"/>
        <w:spacing w:after="171"/>
        <w:ind w:left="20"/>
        <w:jc w:val="both"/>
        <w:rPr>
          <w:lang w:val="ru-RU"/>
        </w:rPr>
      </w:pPr>
      <w:r w:rsidRPr="00D05836">
        <w:rPr>
          <w:lang w:val="ru-RU"/>
        </w:rPr>
        <w:t>Применять при включенном фильтре</w:t>
      </w:r>
    </w:p>
    <w:p w:rsidR="00D05836" w:rsidRPr="00D05836" w:rsidRDefault="00D05836" w:rsidP="00D05836">
      <w:pPr>
        <w:pStyle w:val="a0"/>
        <w:spacing w:after="180"/>
        <w:ind w:left="20" w:right="20"/>
        <w:jc w:val="both"/>
        <w:rPr>
          <w:lang w:val="ru-RU"/>
        </w:rPr>
      </w:pPr>
      <w:r w:rsidRPr="00D05836">
        <w:rPr>
          <w:lang w:val="ru-RU"/>
        </w:rPr>
        <w:t>Одна таблетка препарата Многофункциональные (двухслойные) таблетки стабилизированного хлора по 250 гр. на 25 куб. м. воды, каждые 7-10 дней, с помещением в скиммер или в поплавок-дозатор.</w:t>
      </w:r>
    </w:p>
    <w:p w:rsidR="00D05836" w:rsidRPr="00D05836" w:rsidRDefault="00D05836" w:rsidP="00D05836">
      <w:pPr>
        <w:pStyle w:val="a0"/>
        <w:ind w:left="20" w:right="20"/>
        <w:jc w:val="both"/>
        <w:rPr>
          <w:lang w:val="ru-RU"/>
        </w:rPr>
      </w:pPr>
      <w:r w:rsidRPr="00D05836">
        <w:rPr>
          <w:lang w:val="ru-RU"/>
        </w:rPr>
        <w:t xml:space="preserve">Благодаря своему составу, Многофункциональные (двухслойные) таблетки стабилизированного хлора по 250 </w:t>
      </w:r>
      <w:proofErr w:type="spellStart"/>
      <w:r w:rsidRPr="00D05836">
        <w:rPr>
          <w:lang w:val="ru-RU"/>
        </w:rPr>
        <w:t>гр</w:t>
      </w:r>
      <w:proofErr w:type="spellEnd"/>
      <w:r w:rsidRPr="00D05836">
        <w:rPr>
          <w:lang w:val="ru-RU"/>
        </w:rPr>
        <w:t xml:space="preserve"> на протяжении всего времени, что длится их растворение: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3"/>
        </w:numPr>
        <w:spacing w:after="0"/>
        <w:ind w:right="20"/>
        <w:rPr>
          <w:lang w:val="ru-RU"/>
        </w:rPr>
      </w:pPr>
      <w:r w:rsidRPr="00D05836">
        <w:rPr>
          <w:lang w:val="ru-RU"/>
        </w:rPr>
        <w:t>Поддерживают необходимую концентрацию хлора, обеспечивая постоянную дезинфекцию воды в бассейне.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3"/>
        </w:numPr>
        <w:spacing w:after="0"/>
        <w:jc w:val="both"/>
        <w:rPr>
          <w:lang w:val="ru-RU"/>
        </w:rPr>
      </w:pPr>
      <w:r w:rsidRPr="00D05836">
        <w:rPr>
          <w:lang w:val="ru-RU"/>
        </w:rPr>
        <w:t>Уничтожают водоросли или предупреждают их образование на облицовке бассейна.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3"/>
        </w:numPr>
        <w:spacing w:after="0"/>
        <w:ind w:right="20"/>
        <w:rPr>
          <w:lang w:val="ru-RU"/>
        </w:rPr>
      </w:pPr>
      <w:r w:rsidRPr="00D05836">
        <w:rPr>
          <w:lang w:val="ru-RU"/>
        </w:rPr>
        <w:t>Осуществляют постоянную флокуляцию воды в бассейне, обеспечивая тем самым ее чистоту и прозрачность.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3"/>
        </w:numPr>
        <w:spacing w:after="184"/>
        <w:jc w:val="both"/>
      </w:pPr>
      <w:proofErr w:type="spellStart"/>
      <w:r w:rsidRPr="00D05836">
        <w:t>Удаляет</w:t>
      </w:r>
      <w:proofErr w:type="spellEnd"/>
      <w:r w:rsidRPr="00D05836">
        <w:t xml:space="preserve"> </w:t>
      </w:r>
      <w:proofErr w:type="spellStart"/>
      <w:r w:rsidRPr="00D05836">
        <w:t>известковый</w:t>
      </w:r>
      <w:proofErr w:type="spellEnd"/>
      <w:r w:rsidRPr="00D05836">
        <w:t xml:space="preserve"> </w:t>
      </w:r>
      <w:proofErr w:type="spellStart"/>
      <w:r w:rsidRPr="00D05836">
        <w:t>налет</w:t>
      </w:r>
      <w:proofErr w:type="spellEnd"/>
      <w:r w:rsidRPr="00D05836">
        <w:t>.</w:t>
      </w:r>
    </w:p>
    <w:p w:rsidR="00D05836" w:rsidRPr="00D05836" w:rsidRDefault="00D05836" w:rsidP="00D05836">
      <w:pPr>
        <w:pStyle w:val="a0"/>
        <w:ind w:left="20" w:right="20"/>
        <w:jc w:val="both"/>
        <w:rPr>
          <w:lang w:val="ru-RU"/>
        </w:rPr>
      </w:pPr>
      <w:r w:rsidRPr="00D05836">
        <w:rPr>
          <w:lang w:val="ru-RU"/>
        </w:rPr>
        <w:t>ПРИМЕЧАНИЕ: Негорючесть препарата классифицирована по результатам официальных тестов, проведенных французским Национальным институтом по изучению промышленной среды и рисков (</w:t>
      </w:r>
      <w:r w:rsidRPr="00D05836">
        <w:t>INERIS</w:t>
      </w:r>
      <w:r w:rsidRPr="00D05836">
        <w:rPr>
          <w:lang w:val="ru-RU"/>
        </w:rPr>
        <w:t>).</w:t>
      </w:r>
    </w:p>
    <w:p w:rsidR="00D05836" w:rsidRPr="00D05836" w:rsidRDefault="00D05836" w:rsidP="00D05836">
      <w:pPr>
        <w:pStyle w:val="a0"/>
        <w:ind w:left="20" w:right="20"/>
        <w:jc w:val="both"/>
        <w:rPr>
          <w:lang w:val="ru-RU"/>
        </w:rPr>
      </w:pPr>
    </w:p>
    <w:p w:rsidR="00D05836" w:rsidRPr="00D05836" w:rsidRDefault="00D05836" w:rsidP="00D05836">
      <w:pPr>
        <w:rPr>
          <w:rStyle w:val="a8"/>
          <w:b/>
          <w:i w:val="0"/>
          <w:u w:val="single"/>
          <w:lang w:val="ru-RU"/>
        </w:rPr>
      </w:pPr>
      <w:proofErr w:type="spellStart"/>
      <w:r w:rsidRPr="00D05836">
        <w:rPr>
          <w:rStyle w:val="a8"/>
          <w:b/>
          <w:i w:val="0"/>
          <w:u w:val="single"/>
        </w:rPr>
        <w:t>Рекомендации</w:t>
      </w:r>
      <w:proofErr w:type="spellEnd"/>
      <w:r w:rsidRPr="00D05836">
        <w:rPr>
          <w:rStyle w:val="a8"/>
          <w:b/>
          <w:i w:val="0"/>
          <w:u w:val="single"/>
        </w:rPr>
        <w:t xml:space="preserve"> </w:t>
      </w:r>
      <w:proofErr w:type="spellStart"/>
      <w:r w:rsidRPr="00D05836">
        <w:rPr>
          <w:rStyle w:val="a8"/>
          <w:b/>
          <w:i w:val="0"/>
          <w:u w:val="single"/>
        </w:rPr>
        <w:t>по</w:t>
      </w:r>
      <w:proofErr w:type="spellEnd"/>
      <w:r w:rsidRPr="00D05836">
        <w:rPr>
          <w:rStyle w:val="a8"/>
          <w:b/>
          <w:i w:val="0"/>
          <w:u w:val="single"/>
        </w:rPr>
        <w:t xml:space="preserve"> </w:t>
      </w:r>
      <w:proofErr w:type="spellStart"/>
      <w:r w:rsidRPr="00D05836">
        <w:rPr>
          <w:rStyle w:val="a8"/>
          <w:b/>
          <w:i w:val="0"/>
          <w:u w:val="single"/>
        </w:rPr>
        <w:t>безопасности</w:t>
      </w:r>
      <w:proofErr w:type="spellEnd"/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spacing w:after="0"/>
        <w:jc w:val="both"/>
        <w:rPr>
          <w:lang w:val="ru-RU"/>
        </w:rPr>
      </w:pPr>
      <w:r w:rsidRPr="00D05836">
        <w:rPr>
          <w:lang w:val="ru-RU"/>
        </w:rPr>
        <w:t>В случае попадания в организм оказывает вредное воздействие.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spacing w:after="0"/>
        <w:jc w:val="both"/>
        <w:rPr>
          <w:lang w:val="ru-RU"/>
        </w:rPr>
      </w:pPr>
      <w:r w:rsidRPr="00D05836">
        <w:rPr>
          <w:lang w:val="ru-RU"/>
        </w:rPr>
        <w:t xml:space="preserve"> При контакте с кислотой выделяет токсичный газ.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</w:tabs>
        <w:spacing w:after="0"/>
        <w:jc w:val="both"/>
        <w:rPr>
          <w:lang w:val="ru-RU"/>
        </w:rPr>
      </w:pPr>
      <w:r w:rsidRPr="00D05836">
        <w:rPr>
          <w:lang w:val="ru-RU"/>
        </w:rPr>
        <w:t>Раздражает глаза и дыхательные пути.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4550"/>
          <w:tab w:val="center" w:pos="6092"/>
          <w:tab w:val="center" w:pos="6599"/>
          <w:tab w:val="right" w:pos="9066"/>
        </w:tabs>
        <w:spacing w:after="0"/>
        <w:jc w:val="both"/>
        <w:rPr>
          <w:lang w:val="ru-RU"/>
        </w:rPr>
      </w:pPr>
      <w:r w:rsidRPr="00D05836">
        <w:rPr>
          <w:lang w:val="ru-RU"/>
        </w:rPr>
        <w:t xml:space="preserve">Крайне </w:t>
      </w:r>
      <w:proofErr w:type="gramStart"/>
      <w:r w:rsidRPr="00D05836">
        <w:rPr>
          <w:lang w:val="ru-RU"/>
        </w:rPr>
        <w:t>токсичен</w:t>
      </w:r>
      <w:proofErr w:type="gramEnd"/>
      <w:r w:rsidRPr="00D05836">
        <w:rPr>
          <w:lang w:val="ru-RU"/>
        </w:rPr>
        <w:t xml:space="preserve"> для обитающих в воде</w:t>
      </w:r>
      <w:r w:rsidRPr="00D05836">
        <w:rPr>
          <w:lang w:val="ru-RU"/>
        </w:rPr>
        <w:tab/>
        <w:t>организмов</w:t>
      </w:r>
      <w:r w:rsidRPr="00D05836">
        <w:rPr>
          <w:lang w:val="ru-RU"/>
        </w:rPr>
        <w:tab/>
        <w:t>и</w:t>
      </w:r>
      <w:r w:rsidRPr="00D05836">
        <w:rPr>
          <w:lang w:val="ru-RU"/>
        </w:rPr>
        <w:tab/>
        <w:t>может</w:t>
      </w:r>
      <w:r w:rsidRPr="00D05836">
        <w:rPr>
          <w:lang w:val="ru-RU"/>
        </w:rPr>
        <w:tab/>
        <w:t>оказывать</w:t>
      </w:r>
      <w:r w:rsidRPr="00D05836">
        <w:rPr>
          <w:lang w:val="ru-RU"/>
        </w:rPr>
        <w:tab/>
        <w:t>долговременное</w:t>
      </w:r>
    </w:p>
    <w:p w:rsidR="00D05836" w:rsidRPr="00D05836" w:rsidRDefault="00D05836" w:rsidP="00D05836">
      <w:pPr>
        <w:pStyle w:val="a0"/>
        <w:numPr>
          <w:ilvl w:val="0"/>
          <w:numId w:val="4"/>
        </w:numPr>
        <w:rPr>
          <w:lang w:val="ru-RU"/>
        </w:rPr>
      </w:pPr>
      <w:r w:rsidRPr="00D05836">
        <w:rPr>
          <w:lang w:val="ru-RU"/>
        </w:rPr>
        <w:lastRenderedPageBreak/>
        <w:t>вредное воздействие на окружающую водную среду.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</w:tabs>
        <w:spacing w:after="0"/>
        <w:jc w:val="both"/>
      </w:pPr>
      <w:proofErr w:type="spellStart"/>
      <w:r w:rsidRPr="00D05836">
        <w:t>Предохранять</w:t>
      </w:r>
      <w:proofErr w:type="spellEnd"/>
      <w:r w:rsidRPr="00D05836">
        <w:t xml:space="preserve"> </w:t>
      </w:r>
      <w:proofErr w:type="spellStart"/>
      <w:r w:rsidRPr="00D05836">
        <w:t>упаковку</w:t>
      </w:r>
      <w:proofErr w:type="spellEnd"/>
      <w:r w:rsidRPr="00D05836">
        <w:t xml:space="preserve"> </w:t>
      </w:r>
      <w:proofErr w:type="spellStart"/>
      <w:r w:rsidRPr="00D05836">
        <w:t>от</w:t>
      </w:r>
      <w:proofErr w:type="spellEnd"/>
      <w:r w:rsidRPr="00D05836">
        <w:t xml:space="preserve"> </w:t>
      </w:r>
      <w:proofErr w:type="spellStart"/>
      <w:r w:rsidRPr="00D05836">
        <w:t>влажности</w:t>
      </w:r>
      <w:proofErr w:type="spellEnd"/>
      <w:r w:rsidRPr="00D05836">
        <w:t>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2750"/>
          <w:tab w:val="right" w:pos="6927"/>
          <w:tab w:val="left" w:pos="7132"/>
          <w:tab w:val="right" w:pos="9066"/>
        </w:tabs>
        <w:spacing w:after="0"/>
        <w:jc w:val="both"/>
        <w:rPr>
          <w:lang w:val="ru-RU"/>
        </w:rPr>
      </w:pPr>
      <w:r w:rsidRPr="00D05836">
        <w:rPr>
          <w:lang w:val="ru-RU"/>
        </w:rPr>
        <w:t>В случае попадания</w:t>
      </w:r>
      <w:r w:rsidRPr="00D05836">
        <w:rPr>
          <w:lang w:val="ru-RU"/>
        </w:rPr>
        <w:tab/>
        <w:t>в глаза немедленно промыть</w:t>
      </w:r>
      <w:r w:rsidRPr="00D05836">
        <w:rPr>
          <w:lang w:val="ru-RU"/>
        </w:rPr>
        <w:tab/>
        <w:t>большим</w:t>
      </w:r>
      <w:r w:rsidRPr="00D05836">
        <w:rPr>
          <w:lang w:val="ru-RU"/>
        </w:rPr>
        <w:tab/>
        <w:t>количеством воды</w:t>
      </w:r>
      <w:r w:rsidRPr="00D05836">
        <w:rPr>
          <w:lang w:val="ru-RU"/>
        </w:rPr>
        <w:tab/>
        <w:t>и</w:t>
      </w:r>
    </w:p>
    <w:p w:rsidR="00D05836" w:rsidRPr="00D05836" w:rsidRDefault="00D05836" w:rsidP="00D05836">
      <w:pPr>
        <w:pStyle w:val="a0"/>
        <w:numPr>
          <w:ilvl w:val="0"/>
          <w:numId w:val="4"/>
        </w:numPr>
      </w:pPr>
      <w:proofErr w:type="spellStart"/>
      <w:proofErr w:type="gramStart"/>
      <w:r w:rsidRPr="00D05836">
        <w:t>обратиться</w:t>
      </w:r>
      <w:proofErr w:type="spellEnd"/>
      <w:proofErr w:type="gramEnd"/>
      <w:r w:rsidRPr="00D05836">
        <w:t xml:space="preserve"> к </w:t>
      </w:r>
      <w:proofErr w:type="spellStart"/>
      <w:r w:rsidRPr="00D05836">
        <w:t>врачу</w:t>
      </w:r>
      <w:proofErr w:type="spellEnd"/>
      <w:r w:rsidRPr="00D05836">
        <w:t>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2774"/>
          <w:tab w:val="right" w:pos="6351"/>
        </w:tabs>
        <w:spacing w:after="0"/>
        <w:jc w:val="both"/>
        <w:rPr>
          <w:lang w:val="ru-RU"/>
        </w:rPr>
      </w:pPr>
      <w:r w:rsidRPr="00D05836">
        <w:rPr>
          <w:lang w:val="ru-RU"/>
        </w:rPr>
        <w:t>В случае пожара и/или</w:t>
      </w:r>
      <w:r w:rsidRPr="00D05836">
        <w:rPr>
          <w:lang w:val="ru-RU"/>
        </w:rPr>
        <w:tab/>
        <w:t>взрыва не вдыхать образующийся</w:t>
      </w:r>
      <w:r w:rsidRPr="00D05836">
        <w:rPr>
          <w:lang w:val="ru-RU"/>
        </w:rPr>
        <w:tab/>
        <w:t>дым.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2769"/>
          <w:tab w:val="right" w:pos="6927"/>
          <w:tab w:val="left" w:pos="7132"/>
        </w:tabs>
        <w:spacing w:after="0"/>
        <w:jc w:val="both"/>
        <w:rPr>
          <w:lang w:val="ru-RU"/>
        </w:rPr>
      </w:pPr>
      <w:r w:rsidRPr="00D05836">
        <w:rPr>
          <w:lang w:val="ru-RU"/>
        </w:rPr>
        <w:t>В случае попадания в</w:t>
      </w:r>
      <w:r w:rsidRPr="00D05836">
        <w:rPr>
          <w:lang w:val="ru-RU"/>
        </w:rPr>
        <w:tab/>
        <w:t>организм немедленно обратиться</w:t>
      </w:r>
      <w:r w:rsidRPr="00D05836">
        <w:rPr>
          <w:lang w:val="ru-RU"/>
        </w:rPr>
        <w:tab/>
        <w:t>к врачу и</w:t>
      </w:r>
      <w:r w:rsidRPr="00D05836">
        <w:rPr>
          <w:lang w:val="ru-RU"/>
        </w:rPr>
        <w:tab/>
        <w:t>показать ему упаковку</w:t>
      </w:r>
    </w:p>
    <w:p w:rsidR="00D05836" w:rsidRPr="00D05836" w:rsidRDefault="00D05836" w:rsidP="00D05836">
      <w:pPr>
        <w:pStyle w:val="a0"/>
        <w:numPr>
          <w:ilvl w:val="0"/>
          <w:numId w:val="4"/>
        </w:numPr>
      </w:pPr>
      <w:proofErr w:type="spellStart"/>
      <w:proofErr w:type="gramStart"/>
      <w:r w:rsidRPr="00D05836">
        <w:t>или</w:t>
      </w:r>
      <w:proofErr w:type="spellEnd"/>
      <w:proofErr w:type="gramEnd"/>
      <w:r w:rsidRPr="00D05836">
        <w:t xml:space="preserve"> </w:t>
      </w:r>
      <w:proofErr w:type="spellStart"/>
      <w:r w:rsidRPr="00D05836">
        <w:t>этикетку</w:t>
      </w:r>
      <w:proofErr w:type="spellEnd"/>
      <w:r w:rsidRPr="00D05836">
        <w:t xml:space="preserve"> </w:t>
      </w:r>
      <w:proofErr w:type="spellStart"/>
      <w:r w:rsidRPr="00D05836">
        <w:t>препарата</w:t>
      </w:r>
      <w:proofErr w:type="spellEnd"/>
      <w:r w:rsidRPr="00D05836">
        <w:t>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spacing w:after="0"/>
        <w:jc w:val="both"/>
        <w:rPr>
          <w:lang w:val="ru-RU"/>
        </w:rPr>
      </w:pPr>
      <w:r w:rsidRPr="00D05836">
        <w:rPr>
          <w:lang w:val="ru-RU"/>
        </w:rPr>
        <w:t xml:space="preserve"> Уничтожать остатки препарата и его упаковку как опасные отходы.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2740"/>
          <w:tab w:val="right" w:pos="6927"/>
          <w:tab w:val="right" w:pos="9066"/>
        </w:tabs>
        <w:spacing w:after="0"/>
        <w:jc w:val="both"/>
      </w:pPr>
      <w:r w:rsidRPr="00D05836">
        <w:rPr>
          <w:lang w:val="ru-RU"/>
        </w:rPr>
        <w:t>Избегать выброса в</w:t>
      </w:r>
      <w:r w:rsidRPr="00D05836">
        <w:rPr>
          <w:lang w:val="ru-RU"/>
        </w:rPr>
        <w:tab/>
        <w:t xml:space="preserve">окружающую среду. </w:t>
      </w:r>
      <w:proofErr w:type="spellStart"/>
      <w:r w:rsidRPr="00D05836">
        <w:t>Следовать</w:t>
      </w:r>
      <w:proofErr w:type="spellEnd"/>
      <w:r w:rsidRPr="00D05836">
        <w:tab/>
      </w:r>
      <w:proofErr w:type="spellStart"/>
      <w:r w:rsidRPr="00D05836">
        <w:t>специальным</w:t>
      </w:r>
      <w:proofErr w:type="spellEnd"/>
      <w:r w:rsidRPr="00D05836">
        <w:t xml:space="preserve"> </w:t>
      </w:r>
      <w:proofErr w:type="spellStart"/>
      <w:r w:rsidRPr="00D05836">
        <w:t>инструкциям</w:t>
      </w:r>
      <w:proofErr w:type="spellEnd"/>
      <w:r w:rsidRPr="00D05836">
        <w:tab/>
      </w:r>
      <w:proofErr w:type="spellStart"/>
      <w:r w:rsidRPr="00D05836">
        <w:t>по</w:t>
      </w:r>
      <w:proofErr w:type="spellEnd"/>
    </w:p>
    <w:p w:rsidR="00D05836" w:rsidRPr="00D05836" w:rsidRDefault="00D05836" w:rsidP="00D05836">
      <w:pPr>
        <w:pStyle w:val="a0"/>
        <w:numPr>
          <w:ilvl w:val="0"/>
          <w:numId w:val="4"/>
        </w:numPr>
      </w:pPr>
      <w:proofErr w:type="spellStart"/>
      <w:proofErr w:type="gramStart"/>
      <w:r w:rsidRPr="00D05836">
        <w:t>безопасности</w:t>
      </w:r>
      <w:proofErr w:type="spellEnd"/>
      <w:proofErr w:type="gramEnd"/>
      <w:r w:rsidRPr="00D05836">
        <w:t>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</w:tabs>
        <w:spacing w:after="0"/>
        <w:jc w:val="both"/>
        <w:rPr>
          <w:lang w:val="ru-RU"/>
        </w:rPr>
      </w:pPr>
      <w:r w:rsidRPr="00D05836">
        <w:rPr>
          <w:lang w:val="ru-RU"/>
        </w:rPr>
        <w:t>Добавлять не воду в хлор, а хлор в воду.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4"/>
        </w:numPr>
        <w:tabs>
          <w:tab w:val="left" w:pos="399"/>
          <w:tab w:val="left" w:pos="4559"/>
          <w:tab w:val="center" w:pos="7009"/>
        </w:tabs>
        <w:spacing w:after="3"/>
        <w:rPr>
          <w:lang w:val="ru-RU"/>
        </w:rPr>
      </w:pPr>
      <w:r w:rsidRPr="00D05836">
        <w:rPr>
          <w:lang w:val="ru-RU"/>
        </w:rPr>
        <w:t>Не допускать непосредственного контакта</w:t>
      </w:r>
      <w:r>
        <w:rPr>
          <w:lang w:val="ru-RU"/>
        </w:rPr>
        <w:t xml:space="preserve"> </w:t>
      </w:r>
      <w:r w:rsidRPr="00D05836">
        <w:rPr>
          <w:lang w:val="ru-RU"/>
        </w:rPr>
        <w:t>таблеток с виниловой</w:t>
      </w:r>
      <w:r>
        <w:rPr>
          <w:lang w:val="ru-RU"/>
        </w:rPr>
        <w:t xml:space="preserve"> </w:t>
      </w:r>
      <w:r w:rsidRPr="00D05836">
        <w:rPr>
          <w:lang w:val="ru-RU"/>
        </w:rPr>
        <w:t>облицовкой (пленка)</w:t>
      </w:r>
    </w:p>
    <w:p w:rsidR="00D05836" w:rsidRPr="00D05836" w:rsidRDefault="00D05836" w:rsidP="00D05836">
      <w:pPr>
        <w:pStyle w:val="a0"/>
        <w:ind w:left="20"/>
        <w:jc w:val="both"/>
        <w:rPr>
          <w:lang w:val="ru-RU"/>
        </w:rPr>
      </w:pPr>
      <w:proofErr w:type="spellStart"/>
      <w:r w:rsidRPr="00D05836">
        <w:t>Xn</w:t>
      </w:r>
      <w:proofErr w:type="spellEnd"/>
      <w:r w:rsidRPr="00D05836">
        <w:rPr>
          <w:lang w:val="ru-RU"/>
        </w:rPr>
        <w:t xml:space="preserve"> -Оказывает вредное воздействие</w:t>
      </w:r>
    </w:p>
    <w:p w:rsidR="00D05836" w:rsidRPr="00D05836" w:rsidRDefault="00D05836" w:rsidP="00D05836">
      <w:pPr>
        <w:pStyle w:val="a0"/>
        <w:ind w:left="20" w:right="5760"/>
        <w:rPr>
          <w:lang w:val="ru-RU"/>
        </w:rPr>
      </w:pPr>
      <w:r w:rsidRPr="00D05836">
        <w:t>N</w:t>
      </w:r>
      <w:r w:rsidRPr="00D05836">
        <w:rPr>
          <w:lang w:val="ru-RU"/>
        </w:rPr>
        <w:t xml:space="preserve"> - Опасен для окружающей среды </w:t>
      </w:r>
      <w:r w:rsidRPr="00D05836">
        <w:rPr>
          <w:b/>
          <w:u w:val="single"/>
          <w:lang w:val="ru-RU"/>
        </w:rPr>
        <w:t>Условия хранения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5"/>
        </w:numPr>
        <w:tabs>
          <w:tab w:val="left" w:pos="399"/>
        </w:tabs>
        <w:spacing w:after="0"/>
        <w:jc w:val="both"/>
        <w:rPr>
          <w:lang w:val="ru-RU"/>
        </w:rPr>
      </w:pPr>
      <w:r w:rsidRPr="00D05836">
        <w:rPr>
          <w:lang w:val="ru-RU"/>
        </w:rPr>
        <w:t>Хранить в недоступном для детей месте.</w:t>
      </w:r>
    </w:p>
    <w:p w:rsidR="00D05836" w:rsidRPr="00D05836" w:rsidRDefault="00D05836" w:rsidP="00D05836">
      <w:pPr>
        <w:pStyle w:val="a0"/>
        <w:widowControl w:val="0"/>
        <w:numPr>
          <w:ilvl w:val="0"/>
          <w:numId w:val="5"/>
        </w:numPr>
        <w:spacing w:after="219"/>
        <w:jc w:val="both"/>
        <w:rPr>
          <w:lang w:val="ru-RU"/>
        </w:rPr>
      </w:pPr>
      <w:r w:rsidRPr="00D05836">
        <w:rPr>
          <w:lang w:val="ru-RU"/>
        </w:rPr>
        <w:t>Длительное хранение - в сухом месте при температуре не выше 35°</w:t>
      </w:r>
      <w:r w:rsidRPr="00D05836">
        <w:t>C</w:t>
      </w:r>
      <w:r w:rsidRPr="00D05836">
        <w:rPr>
          <w:lang w:val="ru-RU"/>
        </w:rPr>
        <w:t>.</w:t>
      </w:r>
    </w:p>
    <w:p w:rsidR="00D05836" w:rsidRPr="00D05836" w:rsidRDefault="00D05836" w:rsidP="00D05836">
      <w:pPr>
        <w:rPr>
          <w:b/>
          <w:u w:val="single"/>
          <w:lang w:val="ru-RU"/>
        </w:rPr>
      </w:pPr>
      <w:r w:rsidRPr="00D05836">
        <w:rPr>
          <w:b/>
          <w:u w:val="single"/>
          <w:lang w:val="ru-RU"/>
        </w:rPr>
        <w:t>Взаимодействие с другими продуктами</w:t>
      </w:r>
    </w:p>
    <w:p w:rsidR="00D05836" w:rsidRPr="00D05836" w:rsidRDefault="00D05836" w:rsidP="00D05836">
      <w:pPr>
        <w:pStyle w:val="a0"/>
        <w:spacing w:after="180"/>
        <w:ind w:left="20" w:right="20"/>
        <w:jc w:val="both"/>
        <w:rPr>
          <w:lang w:val="ru-RU"/>
        </w:rPr>
      </w:pPr>
      <w:r w:rsidRPr="00D05836">
        <w:rPr>
          <w:lang w:val="ru-RU"/>
        </w:rPr>
        <w:t>Внимание: Не использовать в сочетании с другими препаратами, т. к. возможно выделение опасных газов (хлора).</w:t>
      </w:r>
    </w:p>
    <w:p w:rsidR="00D05836" w:rsidRPr="00D05836" w:rsidRDefault="00D05836" w:rsidP="00D05836">
      <w:pPr>
        <w:pStyle w:val="a0"/>
        <w:spacing w:after="228"/>
        <w:ind w:left="20" w:right="20"/>
        <w:jc w:val="both"/>
        <w:rPr>
          <w:rStyle w:val="a8"/>
          <w:i w:val="0"/>
          <w:iCs w:val="0"/>
          <w:lang w:val="ru-RU"/>
        </w:rPr>
      </w:pPr>
      <w:r w:rsidRPr="00D05836">
        <w:rPr>
          <w:lang w:val="ru-RU"/>
        </w:rPr>
        <w:t xml:space="preserve">Внимание: Не смешивать в твердом состоянии Многофункциональные (двухслойные) таблетки стабилизированного хлора по 250 </w:t>
      </w:r>
      <w:proofErr w:type="spellStart"/>
      <w:r w:rsidRPr="00D05836">
        <w:rPr>
          <w:lang w:val="ru-RU"/>
        </w:rPr>
        <w:t>гр</w:t>
      </w:r>
      <w:proofErr w:type="spellEnd"/>
      <w:r w:rsidRPr="00D05836">
        <w:rPr>
          <w:lang w:val="ru-RU"/>
        </w:rPr>
        <w:t xml:space="preserve"> (синяя этикетка: </w:t>
      </w:r>
      <w:proofErr w:type="spellStart"/>
      <w:r w:rsidRPr="00D05836">
        <w:rPr>
          <w:lang w:val="ru-RU"/>
        </w:rPr>
        <w:t>трихлоризоциануровая</w:t>
      </w:r>
      <w:proofErr w:type="spellEnd"/>
      <w:r w:rsidRPr="00D05836">
        <w:rPr>
          <w:lang w:val="ru-RU"/>
        </w:rPr>
        <w:t xml:space="preserve"> кислота или </w:t>
      </w:r>
      <w:proofErr w:type="spellStart"/>
      <w:r w:rsidRPr="00D05836">
        <w:rPr>
          <w:lang w:val="ru-RU"/>
        </w:rPr>
        <w:t>двуводный</w:t>
      </w:r>
      <w:proofErr w:type="spellEnd"/>
      <w:r w:rsidRPr="00D05836">
        <w:rPr>
          <w:lang w:val="ru-RU"/>
        </w:rPr>
        <w:t xml:space="preserve"> </w:t>
      </w:r>
      <w:proofErr w:type="spellStart"/>
      <w:r w:rsidRPr="00D05836">
        <w:rPr>
          <w:lang w:val="ru-RU"/>
        </w:rPr>
        <w:t>дихлоризоцианурат</w:t>
      </w:r>
      <w:proofErr w:type="spellEnd"/>
      <w:r w:rsidRPr="00D05836">
        <w:rPr>
          <w:lang w:val="ru-RU"/>
        </w:rPr>
        <w:t xml:space="preserve"> натрия) с хлором без стабилизатора (красная этикетка: гипохлорит кальция).</w:t>
      </w:r>
    </w:p>
    <w:p w:rsidR="00D05836" w:rsidRPr="00D05836" w:rsidRDefault="00D05836" w:rsidP="00D05836">
      <w:pPr>
        <w:pStyle w:val="a0"/>
        <w:spacing w:line="230" w:lineRule="exact"/>
        <w:ind w:left="20" w:right="20"/>
        <w:jc w:val="both"/>
        <w:rPr>
          <w:lang w:val="ru-RU"/>
        </w:rPr>
      </w:pPr>
    </w:p>
    <w:p w:rsidR="00D05836" w:rsidRDefault="00D05836" w:rsidP="00D05836">
      <w:pPr>
        <w:pStyle w:val="31"/>
        <w:shd w:val="clear" w:color="auto" w:fill="auto"/>
        <w:ind w:left="300"/>
      </w:pPr>
    </w:p>
    <w:p w:rsidR="00D05836" w:rsidRPr="00D05836" w:rsidRDefault="00D05836" w:rsidP="00D05836">
      <w:pPr>
        <w:pStyle w:val="a0"/>
        <w:ind w:left="20" w:right="300"/>
        <w:rPr>
          <w:lang w:val="ru-RU"/>
        </w:rPr>
      </w:pPr>
    </w:p>
    <w:p w:rsidR="00D05836" w:rsidRPr="00D05836" w:rsidRDefault="00D05836" w:rsidP="00D05836">
      <w:pPr>
        <w:jc w:val="both"/>
        <w:rPr>
          <w:lang w:val="ru-RU"/>
        </w:rPr>
      </w:pPr>
    </w:p>
    <w:sectPr w:rsidR="00D05836" w:rsidRPr="00D05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20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9" w:hanging="180"/>
      </w:pPr>
    </w:lvl>
  </w:abstractNum>
  <w:abstractNum w:abstractNumId="1">
    <w:nsid w:val="4CE11BE4"/>
    <w:multiLevelType w:val="hybridMultilevel"/>
    <w:tmpl w:val="66589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4009E"/>
    <w:multiLevelType w:val="hybridMultilevel"/>
    <w:tmpl w:val="A59CDE4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5E757E7E"/>
    <w:multiLevelType w:val="hybridMultilevel"/>
    <w:tmpl w:val="0CA6ACE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71DC5E47"/>
    <w:multiLevelType w:val="hybridMultilevel"/>
    <w:tmpl w:val="168EB5E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B0"/>
    <w:rsid w:val="00565CED"/>
    <w:rsid w:val="007712B0"/>
    <w:rsid w:val="00D05836"/>
    <w:rsid w:val="00E15330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36"/>
    <w:rPr>
      <w:rFonts w:ascii="Arial" w:eastAsia="Times New Roman" w:hAnsi="Arial" w:cs="Arial"/>
      <w:color w:val="000000"/>
      <w:lang w:val="en-US"/>
    </w:rPr>
  </w:style>
  <w:style w:type="paragraph" w:styleId="1">
    <w:name w:val="heading 1"/>
    <w:basedOn w:val="a"/>
    <w:next w:val="a"/>
    <w:link w:val="10"/>
    <w:qFormat/>
    <w:rsid w:val="00D058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qFormat/>
    <w:rsid w:val="00565CED"/>
    <w:pPr>
      <w:keepNext/>
      <w:widowControl w:val="0"/>
      <w:tabs>
        <w:tab w:val="num" w:pos="0"/>
        <w:tab w:val="left" w:pos="8306"/>
      </w:tabs>
      <w:spacing w:line="360" w:lineRule="auto"/>
      <w:ind w:left="1789" w:firstLine="284"/>
      <w:outlineLvl w:val="1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65CED"/>
    <w:rPr>
      <w:kern w:val="1"/>
      <w:lang w:eastAsia="ar-SA"/>
    </w:rPr>
  </w:style>
  <w:style w:type="paragraph" w:styleId="a0">
    <w:name w:val="Body Text"/>
    <w:basedOn w:val="a"/>
    <w:link w:val="a4"/>
    <w:uiPriority w:val="99"/>
    <w:unhideWhenUsed/>
    <w:rsid w:val="00565CED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65CED"/>
    <w:rPr>
      <w:rFonts w:ascii="Calibri" w:hAnsi="Calibri" w:cs="font201"/>
      <w:kern w:val="1"/>
      <w:sz w:val="22"/>
      <w:szCs w:val="22"/>
      <w:lang w:eastAsia="ar-SA"/>
    </w:rPr>
  </w:style>
  <w:style w:type="character" w:styleId="a5">
    <w:name w:val="Hyperlink"/>
    <w:unhideWhenUsed/>
    <w:rsid w:val="00D0583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58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05836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11">
    <w:name w:val="Основной текст Знак1"/>
    <w:basedOn w:val="a1"/>
    <w:uiPriority w:val="99"/>
    <w:rsid w:val="00D05836"/>
    <w:rPr>
      <w:rFonts w:ascii="Arial Unicode MS" w:eastAsia="Arial Unicode MS" w:cs="Arial Unicode MS"/>
      <w:spacing w:val="3"/>
      <w:sz w:val="17"/>
      <w:szCs w:val="17"/>
      <w:u w:val="none"/>
    </w:rPr>
  </w:style>
  <w:style w:type="character" w:customStyle="1" w:styleId="3">
    <w:name w:val="Заголовок №3_"/>
    <w:basedOn w:val="a1"/>
    <w:link w:val="31"/>
    <w:uiPriority w:val="99"/>
    <w:rsid w:val="00D05836"/>
    <w:rPr>
      <w:rFonts w:ascii="Arial Unicode MS" w:cs="Arial Unicode MS"/>
      <w:spacing w:val="3"/>
      <w:sz w:val="17"/>
      <w:szCs w:val="17"/>
      <w:shd w:val="clear" w:color="auto" w:fill="FFFFFF"/>
    </w:rPr>
  </w:style>
  <w:style w:type="character" w:customStyle="1" w:styleId="30">
    <w:name w:val="Заголовок №3"/>
    <w:basedOn w:val="3"/>
    <w:uiPriority w:val="99"/>
    <w:rsid w:val="00D05836"/>
    <w:rPr>
      <w:rFonts w:ascii="Arial Unicode MS" w:cs="Arial Unicode MS"/>
      <w:spacing w:val="3"/>
      <w:sz w:val="17"/>
      <w:szCs w:val="17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D05836"/>
    <w:pPr>
      <w:widowControl w:val="0"/>
      <w:shd w:val="clear" w:color="auto" w:fill="FFFFFF"/>
      <w:spacing w:line="456" w:lineRule="exact"/>
      <w:ind w:hanging="280"/>
      <w:outlineLvl w:val="2"/>
    </w:pPr>
    <w:rPr>
      <w:rFonts w:ascii="Arial Unicode MS" w:eastAsia="Arial Unicode MS" w:hAnsi="Times New Roman" w:cs="Arial Unicode MS"/>
      <w:color w:val="auto"/>
      <w:spacing w:val="3"/>
      <w:sz w:val="17"/>
      <w:szCs w:val="17"/>
      <w:lang w:val="ru-RU"/>
    </w:rPr>
  </w:style>
  <w:style w:type="character" w:styleId="a8">
    <w:name w:val="Emphasis"/>
    <w:basedOn w:val="a1"/>
    <w:qFormat/>
    <w:rsid w:val="00D05836"/>
    <w:rPr>
      <w:i/>
      <w:iCs/>
    </w:rPr>
  </w:style>
  <w:style w:type="character" w:customStyle="1" w:styleId="10">
    <w:name w:val="Заголовок 1 Знак"/>
    <w:basedOn w:val="a1"/>
    <w:link w:val="1"/>
    <w:rsid w:val="00D058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a9">
    <w:name w:val="Title"/>
    <w:basedOn w:val="a"/>
    <w:next w:val="a"/>
    <w:link w:val="aa"/>
    <w:qFormat/>
    <w:rsid w:val="00D0583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rsid w:val="00D0583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36"/>
    <w:rPr>
      <w:rFonts w:ascii="Arial" w:eastAsia="Times New Roman" w:hAnsi="Arial" w:cs="Arial"/>
      <w:color w:val="000000"/>
      <w:lang w:val="en-US"/>
    </w:rPr>
  </w:style>
  <w:style w:type="paragraph" w:styleId="1">
    <w:name w:val="heading 1"/>
    <w:basedOn w:val="a"/>
    <w:next w:val="a"/>
    <w:link w:val="10"/>
    <w:qFormat/>
    <w:rsid w:val="00D058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qFormat/>
    <w:rsid w:val="00565CED"/>
    <w:pPr>
      <w:keepNext/>
      <w:widowControl w:val="0"/>
      <w:tabs>
        <w:tab w:val="num" w:pos="0"/>
        <w:tab w:val="left" w:pos="8306"/>
      </w:tabs>
      <w:spacing w:line="360" w:lineRule="auto"/>
      <w:ind w:left="1789" w:firstLine="284"/>
      <w:outlineLvl w:val="1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65CED"/>
    <w:rPr>
      <w:kern w:val="1"/>
      <w:lang w:eastAsia="ar-SA"/>
    </w:rPr>
  </w:style>
  <w:style w:type="paragraph" w:styleId="a0">
    <w:name w:val="Body Text"/>
    <w:basedOn w:val="a"/>
    <w:link w:val="a4"/>
    <w:uiPriority w:val="99"/>
    <w:unhideWhenUsed/>
    <w:rsid w:val="00565CED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65CED"/>
    <w:rPr>
      <w:rFonts w:ascii="Calibri" w:hAnsi="Calibri" w:cs="font201"/>
      <w:kern w:val="1"/>
      <w:sz w:val="22"/>
      <w:szCs w:val="22"/>
      <w:lang w:eastAsia="ar-SA"/>
    </w:rPr>
  </w:style>
  <w:style w:type="character" w:styleId="a5">
    <w:name w:val="Hyperlink"/>
    <w:unhideWhenUsed/>
    <w:rsid w:val="00D0583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58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05836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11">
    <w:name w:val="Основной текст Знак1"/>
    <w:basedOn w:val="a1"/>
    <w:uiPriority w:val="99"/>
    <w:rsid w:val="00D05836"/>
    <w:rPr>
      <w:rFonts w:ascii="Arial Unicode MS" w:eastAsia="Arial Unicode MS" w:cs="Arial Unicode MS"/>
      <w:spacing w:val="3"/>
      <w:sz w:val="17"/>
      <w:szCs w:val="17"/>
      <w:u w:val="none"/>
    </w:rPr>
  </w:style>
  <w:style w:type="character" w:customStyle="1" w:styleId="3">
    <w:name w:val="Заголовок №3_"/>
    <w:basedOn w:val="a1"/>
    <w:link w:val="31"/>
    <w:uiPriority w:val="99"/>
    <w:rsid w:val="00D05836"/>
    <w:rPr>
      <w:rFonts w:ascii="Arial Unicode MS" w:cs="Arial Unicode MS"/>
      <w:spacing w:val="3"/>
      <w:sz w:val="17"/>
      <w:szCs w:val="17"/>
      <w:shd w:val="clear" w:color="auto" w:fill="FFFFFF"/>
    </w:rPr>
  </w:style>
  <w:style w:type="character" w:customStyle="1" w:styleId="30">
    <w:name w:val="Заголовок №3"/>
    <w:basedOn w:val="3"/>
    <w:uiPriority w:val="99"/>
    <w:rsid w:val="00D05836"/>
    <w:rPr>
      <w:rFonts w:ascii="Arial Unicode MS" w:cs="Arial Unicode MS"/>
      <w:spacing w:val="3"/>
      <w:sz w:val="17"/>
      <w:szCs w:val="17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D05836"/>
    <w:pPr>
      <w:widowControl w:val="0"/>
      <w:shd w:val="clear" w:color="auto" w:fill="FFFFFF"/>
      <w:spacing w:line="456" w:lineRule="exact"/>
      <w:ind w:hanging="280"/>
      <w:outlineLvl w:val="2"/>
    </w:pPr>
    <w:rPr>
      <w:rFonts w:ascii="Arial Unicode MS" w:eastAsia="Arial Unicode MS" w:hAnsi="Times New Roman" w:cs="Arial Unicode MS"/>
      <w:color w:val="auto"/>
      <w:spacing w:val="3"/>
      <w:sz w:val="17"/>
      <w:szCs w:val="17"/>
      <w:lang w:val="ru-RU"/>
    </w:rPr>
  </w:style>
  <w:style w:type="character" w:styleId="a8">
    <w:name w:val="Emphasis"/>
    <w:basedOn w:val="a1"/>
    <w:qFormat/>
    <w:rsid w:val="00D05836"/>
    <w:rPr>
      <w:i/>
      <w:iCs/>
    </w:rPr>
  </w:style>
  <w:style w:type="character" w:customStyle="1" w:styleId="10">
    <w:name w:val="Заголовок 1 Знак"/>
    <w:basedOn w:val="a1"/>
    <w:link w:val="1"/>
    <w:rsid w:val="00D058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a9">
    <w:name w:val="Title"/>
    <w:basedOn w:val="a"/>
    <w:next w:val="a"/>
    <w:link w:val="aa"/>
    <w:qFormat/>
    <w:rsid w:val="00D0583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rsid w:val="00D0583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olvia-komi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/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2017-10-17T08:06:00Z</cp:lastPrinted>
  <dcterms:created xsi:type="dcterms:W3CDTF">2017-10-17T08:06:00Z</dcterms:created>
  <dcterms:modified xsi:type="dcterms:W3CDTF">2017-10-17T08:06:00Z</dcterms:modified>
</cp:coreProperties>
</file>